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tbl>
      <w:tblPr>
        <w:tblStyle w:val="TableGrid"/>
        <w:tblW w:w="0" w:type="auto"/>
        <w:tblLook w:val="04A0"/>
      </w:tblPr>
      <w:tblGrid>
        <w:gridCol w:w="2549"/>
        <w:gridCol w:w="2258"/>
        <w:gridCol w:w="2274"/>
        <w:gridCol w:w="2269"/>
      </w:tblGrid>
      <w:tr w:rsidTr="00617811">
        <w:tblPrEx>
          <w:tblW w:w="0" w:type="auto"/>
          <w:tblLook w:val="04A0"/>
        </w:tblPrEx>
        <w:tc>
          <w:tcPr>
            <w:tcW w:w="2337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End w:id="0"/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earning outcome </w:t>
            </w:r>
          </w:p>
        </w:tc>
        <w:tc>
          <w:tcPr>
            <w:tcW w:w="2337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Where I am right now in knowledge skills and abilities, emerging, developing proficient </w:t>
            </w:r>
          </w:p>
        </w:tc>
        <w:tc>
          <w:tcPr>
            <w:tcW w:w="2338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Goals </w:t>
            </w:r>
          </w:p>
        </w:tc>
        <w:tc>
          <w:tcPr>
            <w:tcW w:w="2338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Action plans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617811" w:rsidRPr="00240B33" w:rsidP="00D82BF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Demonstrate understanding of the following documents and how they guide the practice of LPNs in residential care. </w:t>
            </w:r>
          </w:p>
        </w:tc>
        <w:tc>
          <w:tcPr>
            <w:tcW w:w="2337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Scope of practice. Standards, limits, and conditions. </w:t>
            </w:r>
          </w:p>
        </w:tc>
        <w:tc>
          <w:tcPr>
            <w:tcW w:w="2337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 various standards that have been set in resident care that include health and well-being </w:t>
            </w:r>
          </w:p>
        </w:tc>
        <w:tc>
          <w:tcPr>
            <w:tcW w:w="2338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They enhance improvement of the health and develop greater interdependence </w:t>
            </w:r>
          </w:p>
        </w:tc>
        <w:tc>
          <w:tcPr>
            <w:tcW w:w="2338" w:type="dxa"/>
          </w:tcPr>
          <w:p w:rsidR="0061781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Prevention and control</w:t>
            </w:r>
          </w:p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Resident’s well-being.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Entry-level competence for licensed practical nurses</w:t>
            </w:r>
          </w:p>
        </w:tc>
        <w:tc>
          <w:tcPr>
            <w:tcW w:w="2337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 therapeutic nurse-client relationship facilitates self-determination. </w:t>
            </w:r>
          </w:p>
        </w:tc>
        <w:tc>
          <w:tcPr>
            <w:tcW w:w="2338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Demonstrate leadership actions in health care</w:t>
            </w:r>
          </w:p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Show professional conduct. </w:t>
            </w:r>
          </w:p>
        </w:tc>
        <w:tc>
          <w:tcPr>
            <w:tcW w:w="2338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They are promoting clients' rights.</w:t>
            </w:r>
          </w:p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Establish a framework for the nurse-client relationship.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Professional standards of LPNs </w:t>
            </w:r>
          </w:p>
        </w:tc>
        <w:tc>
          <w:tcPr>
            <w:tcW w:w="2337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LPNs work in collaboration with </w:t>
            </w:r>
            <w:r w:rsidRPr="00240B33" w:rsidR="00D7696E">
              <w:rPr>
                <w:rFonts w:ascii="Times New Roman" w:hAnsi="Times New Roman" w:cs="Times New Roman"/>
                <w:sz w:val="24"/>
                <w:szCs w:val="24"/>
              </w:rPr>
              <w:t xml:space="preserve">health care to assess medical plans. </w:t>
            </w:r>
          </w:p>
        </w:tc>
        <w:tc>
          <w:tcPr>
            <w:tcW w:w="2338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Accountability for health safety.</w:t>
            </w:r>
          </w:p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Ethical care provision. </w:t>
            </w:r>
          </w:p>
        </w:tc>
        <w:tc>
          <w:tcPr>
            <w:tcW w:w="2338" w:type="dxa"/>
          </w:tcPr>
          <w:p w:rsidR="00D82BF6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They are upholding the set standards. </w:t>
            </w:r>
          </w:p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Deliver quality nursing services.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Practice standards</w:t>
            </w:r>
          </w:p>
        </w:tc>
        <w:tc>
          <w:tcPr>
            <w:tcW w:w="2337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Intervention measures of the client when there are changes in health. </w:t>
            </w:r>
          </w:p>
        </w:tc>
        <w:tc>
          <w:tcPr>
            <w:tcW w:w="2338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Accountability in health services.</w:t>
            </w:r>
          </w:p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Self-regulating practices in health. </w:t>
            </w:r>
          </w:p>
        </w:tc>
        <w:tc>
          <w:tcPr>
            <w:tcW w:w="2338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Professionalism in nursing services. </w:t>
            </w:r>
          </w:p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D7696E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Safely and competently perform comprehensive nursing assessments and interventions with older </w:t>
            </w:r>
            <w:r w:rsidRPr="00240B33" w:rsidR="00240B33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37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Stages that are in the nursing assessment for older adults. </w:t>
            </w:r>
          </w:p>
        </w:tc>
        <w:tc>
          <w:tcPr>
            <w:tcW w:w="2338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Rehabilitation nursing makes the foundation of care.</w:t>
            </w:r>
          </w:p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Intervention phase with treatment measures. </w:t>
            </w:r>
          </w:p>
        </w:tc>
        <w:tc>
          <w:tcPr>
            <w:tcW w:w="2338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Observation of Valid ethical standards in nursing. 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D7696E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Demonstrate safe disposal of sharps. </w:t>
            </w:r>
          </w:p>
        </w:tc>
        <w:tc>
          <w:tcPr>
            <w:tcW w:w="2337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Importance of safe disposal of sharp objects. </w:t>
            </w:r>
          </w:p>
        </w:tc>
        <w:tc>
          <w:tcPr>
            <w:tcW w:w="2338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The essence of supervised collection points.</w:t>
            </w:r>
          </w:p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Importance of household hazardous waste. </w:t>
            </w:r>
          </w:p>
        </w:tc>
        <w:tc>
          <w:tcPr>
            <w:tcW w:w="2338" w:type="dxa"/>
          </w:tcPr>
          <w:p w:rsidR="00D7696E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It is getting rid of the objects that pose a threat to humanity.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CC3FCC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Demonstrate critical thinking, clinical judgment, and knowledge of assessment and evaluate care for older adults. </w:t>
            </w:r>
          </w:p>
        </w:tc>
        <w:tc>
          <w:tcPr>
            <w:tcW w:w="2337" w:type="dxa"/>
          </w:tcPr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Needed strategies for high-quality clinical practices. </w:t>
            </w:r>
          </w:p>
        </w:tc>
        <w:tc>
          <w:tcPr>
            <w:tcW w:w="2338" w:type="dxa"/>
          </w:tcPr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Illustrate effective care offered to older adults.</w:t>
            </w:r>
          </w:p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Variation in medical attention offered based on age factor. </w:t>
            </w:r>
          </w:p>
        </w:tc>
        <w:tc>
          <w:tcPr>
            <w:tcW w:w="2338" w:type="dxa"/>
          </w:tcPr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Use clinical decision-making skills.</w:t>
            </w:r>
          </w:p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Engage in problem-solving for the health professionals.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CC3FCC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Practice in collaboration with older adult clients, interprofessional health care team, peers, and faculty. </w:t>
            </w:r>
          </w:p>
        </w:tc>
        <w:tc>
          <w:tcPr>
            <w:tcW w:w="2337" w:type="dxa"/>
          </w:tcPr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Health care facilities are offered to older clients. </w:t>
            </w:r>
          </w:p>
        </w:tc>
        <w:tc>
          <w:tcPr>
            <w:tcW w:w="2338" w:type="dxa"/>
          </w:tcPr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Offer better health services. </w:t>
            </w:r>
          </w:p>
          <w:p w:rsidR="00CF479D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Initiate a self-centered client model. </w:t>
            </w:r>
          </w:p>
        </w:tc>
        <w:tc>
          <w:tcPr>
            <w:tcW w:w="2338" w:type="dxa"/>
          </w:tcPr>
          <w:p w:rsidR="00CC3FCC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Enhance communication flow. </w:t>
            </w:r>
          </w:p>
          <w:p w:rsidR="00CF479D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Training employees on best collaboration measures.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CF479D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Provide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 a caring environment for older clients by connecting, sharing, and exploring with them in a collaborative relationship. </w:t>
            </w:r>
          </w:p>
        </w:tc>
        <w:tc>
          <w:tcPr>
            <w:tcW w:w="2337" w:type="dxa"/>
          </w:tcPr>
          <w:p w:rsidR="00CF479D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A safety measure that is necessary for the health care services.</w:t>
            </w:r>
          </w:p>
        </w:tc>
        <w:tc>
          <w:tcPr>
            <w:tcW w:w="2338" w:type="dxa"/>
          </w:tcPr>
          <w:p w:rsidR="00CF479D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Boost security issues in the hospitals.</w:t>
            </w:r>
          </w:p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Promote accountability in the task. </w:t>
            </w:r>
          </w:p>
        </w:tc>
        <w:tc>
          <w:tcPr>
            <w:tcW w:w="2338" w:type="dxa"/>
          </w:tcPr>
          <w:p w:rsidR="00CF479D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Develop a safety compliance plan.</w:t>
            </w:r>
          </w:p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Practice patient-centered care.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6D49A3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Identify potential sources of violence in residential and community care. </w:t>
            </w:r>
          </w:p>
        </w:tc>
        <w:tc>
          <w:tcPr>
            <w:tcW w:w="2337" w:type="dxa"/>
          </w:tcPr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Critical steps that should be taken in preventing violence in-home care. </w:t>
            </w:r>
          </w:p>
        </w:tc>
        <w:tc>
          <w:tcPr>
            <w:tcW w:w="2338" w:type="dxa"/>
          </w:tcPr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Combat incidence that causes violence in community care.</w:t>
            </w:r>
          </w:p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Enhance responsibility in the community. </w:t>
            </w:r>
          </w:p>
        </w:tc>
        <w:tc>
          <w:tcPr>
            <w:tcW w:w="2338" w:type="dxa"/>
          </w:tcPr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Risk assessment in violence. </w:t>
            </w:r>
          </w:p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Workers compensation initiatives.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6D49A3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Provide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culturally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 competent person-centered care that recognizes respects the 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uniqueness</w:t>
            </w: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 of each individual and is sensitive to culture and diversity. </w:t>
            </w:r>
          </w:p>
        </w:tc>
        <w:tc>
          <w:tcPr>
            <w:tcW w:w="2337" w:type="dxa"/>
          </w:tcPr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I am not making assumptions to the patients regarding illness.</w:t>
            </w:r>
          </w:p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Importance of withholding justice. </w:t>
            </w:r>
          </w:p>
        </w:tc>
        <w:tc>
          <w:tcPr>
            <w:tcW w:w="2338" w:type="dxa"/>
          </w:tcPr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Promote inclusivity in health care.</w:t>
            </w:r>
          </w:p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Making inquiries in important aspects. </w:t>
            </w:r>
          </w:p>
        </w:tc>
        <w:tc>
          <w:tcPr>
            <w:tcW w:w="2338" w:type="dxa"/>
          </w:tcPr>
          <w:p w:rsidR="006D49A3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Accommodate people from diverse cultures.</w:t>
            </w:r>
          </w:p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Explain all the details.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B53AD7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Identify own values, biases, and assumptions as a self-reflective, responsible accountable practitioner. </w:t>
            </w:r>
          </w:p>
        </w:tc>
        <w:tc>
          <w:tcPr>
            <w:tcW w:w="2337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 importance of learning from past encounters will enhance accountability. </w:t>
            </w:r>
          </w:p>
        </w:tc>
        <w:tc>
          <w:tcPr>
            <w:tcW w:w="2338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Competent decision-making process. </w:t>
            </w:r>
          </w:p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Promote diligence in work performance.</w:t>
            </w:r>
          </w:p>
        </w:tc>
        <w:tc>
          <w:tcPr>
            <w:tcW w:w="2338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Reference to the experience.</w:t>
            </w:r>
          </w:p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Incorporation of the past and current trends.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B53AD7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Identify your learning needs to enhance competence. </w:t>
            </w:r>
          </w:p>
        </w:tc>
        <w:tc>
          <w:tcPr>
            <w:tcW w:w="2337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 implication of knowing needs that can promote competencies. </w:t>
            </w:r>
          </w:p>
        </w:tc>
        <w:tc>
          <w:tcPr>
            <w:tcW w:w="2338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Promote competency in the workplace.</w:t>
            </w:r>
          </w:p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Enhance accountability.</w:t>
            </w:r>
          </w:p>
        </w:tc>
        <w:tc>
          <w:tcPr>
            <w:tcW w:w="2338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Use the available time wisely.</w:t>
            </w:r>
          </w:p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Take advantage of the technology.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B53AD7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compare and contrast leadership and management roles in a variety of settings</w:t>
            </w:r>
          </w:p>
        </w:tc>
        <w:tc>
          <w:tcPr>
            <w:tcW w:w="2337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 roles are different, while others overlap depending on the organization. </w:t>
            </w:r>
          </w:p>
        </w:tc>
        <w:tc>
          <w:tcPr>
            <w:tcW w:w="2338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Identify the roles of managers and leaders.</w:t>
            </w:r>
          </w:p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Differentiate critical roles of both.</w:t>
            </w:r>
          </w:p>
        </w:tc>
        <w:tc>
          <w:tcPr>
            <w:tcW w:w="2338" w:type="dxa"/>
          </w:tcPr>
          <w:p w:rsidR="00B53AD7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Analyze</w:t>
            </w:r>
            <w:r w:rsidRPr="00240B33" w:rsidR="006E0861">
              <w:rPr>
                <w:rFonts w:ascii="Times New Roman" w:hAnsi="Times New Roman" w:cs="Times New Roman"/>
                <w:sz w:val="24"/>
                <w:szCs w:val="24"/>
              </w:rPr>
              <w:t xml:space="preserve"> their roles in organizations.</w:t>
            </w:r>
          </w:p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Establish a framework of initiatives they have in firms. </w:t>
            </w:r>
          </w:p>
        </w:tc>
      </w:tr>
      <w:tr w:rsidTr="00617811">
        <w:tblPrEx>
          <w:tblW w:w="0" w:type="auto"/>
          <w:tblLook w:val="04A0"/>
        </w:tblPrEx>
        <w:tc>
          <w:tcPr>
            <w:tcW w:w="2337" w:type="dxa"/>
          </w:tcPr>
          <w:p w:rsidR="006E0861" w:rsidRPr="00240B33" w:rsidP="00D7696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Practice safe medication and administration. </w:t>
            </w:r>
          </w:p>
        </w:tc>
        <w:tc>
          <w:tcPr>
            <w:tcW w:w="2337" w:type="dxa"/>
          </w:tcPr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The required standards for safe medication and administration. </w:t>
            </w:r>
          </w:p>
        </w:tc>
        <w:tc>
          <w:tcPr>
            <w:tcW w:w="2338" w:type="dxa"/>
          </w:tcPr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Promote safe medication to clients.</w:t>
            </w:r>
          </w:p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Mitigate the spread of diseases due to bad environments. </w:t>
            </w:r>
          </w:p>
        </w:tc>
        <w:tc>
          <w:tcPr>
            <w:tcW w:w="2338" w:type="dxa"/>
          </w:tcPr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>Check expiry dates for the medicated tablets.</w:t>
            </w:r>
          </w:p>
          <w:p w:rsidR="006E0861" w:rsidRPr="0024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33">
              <w:rPr>
                <w:rFonts w:ascii="Times New Roman" w:hAnsi="Times New Roman" w:cs="Times New Roman"/>
                <w:sz w:val="24"/>
                <w:szCs w:val="24"/>
              </w:rPr>
              <w:t xml:space="preserve">Perform hand hygiene. </w:t>
            </w:r>
          </w:p>
        </w:tc>
      </w:tr>
    </w:tbl>
    <w:p w:rsidR="004D1732" w:rsidRPr="00240B33">
      <w:pPr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B33" w:rsidP="00240B33">
    <w:pPr>
      <w:pStyle w:val="Header"/>
      <w:jc w:val="center"/>
    </w:pPr>
    <w:r w:rsidRPr="00240B33">
      <w:rPr>
        <w:rFonts w:ascii="Times New Roman" w:hAnsi="Times New Roman" w:cs="Times New Roman"/>
        <w:sz w:val="24"/>
        <w:szCs w:val="24"/>
      </w:rPr>
      <w:t>SELF INSPECTION</w:t>
    </w:r>
    <w:r>
      <w:t>.</w:t>
    </w:r>
    <w:r>
      <w:tab/>
    </w:r>
    <w:r>
      <w:tab/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BD3143"/>
    <w:multiLevelType w:val="hybridMultilevel"/>
    <w:tmpl w:val="153AB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11"/>
    <w:rsid w:val="00240B33"/>
    <w:rsid w:val="004D1732"/>
    <w:rsid w:val="00617811"/>
    <w:rsid w:val="006D49A3"/>
    <w:rsid w:val="006E0861"/>
    <w:rsid w:val="00B53AD7"/>
    <w:rsid w:val="00BC3DAD"/>
    <w:rsid w:val="00CC3FCC"/>
    <w:rsid w:val="00CF479D"/>
    <w:rsid w:val="00D7696E"/>
    <w:rsid w:val="00D82BF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5610E6-961D-497F-8D3A-DFB8B26D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B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0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B33"/>
  </w:style>
  <w:style w:type="paragraph" w:styleId="Footer">
    <w:name w:val="footer"/>
    <w:basedOn w:val="Normal"/>
    <w:link w:val="FooterChar"/>
    <w:uiPriority w:val="99"/>
    <w:unhideWhenUsed/>
    <w:rsid w:val="00240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2021-08-13T20:30:00Z</dcterms:created>
  <dcterms:modified xsi:type="dcterms:W3CDTF">2021-08-13T22:03:00Z</dcterms:modified>
</cp:coreProperties>
</file>